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24" w:rsidRPr="00C839E1" w:rsidRDefault="005F5D24" w:rsidP="00C839E1">
      <w:pPr>
        <w:rPr>
          <w:rFonts w:ascii="Arial" w:hAnsi="Arial" w:cs="Arial"/>
        </w:rPr>
      </w:pPr>
    </w:p>
    <w:p w:rsidR="005F5D24" w:rsidRPr="00C839E1" w:rsidRDefault="005F5D24" w:rsidP="00C839E1">
      <w:pPr>
        <w:rPr>
          <w:rFonts w:ascii="Arial" w:hAnsi="Arial" w:cs="Arial"/>
        </w:rPr>
      </w:pPr>
    </w:p>
    <w:p w:rsidR="005F5D24" w:rsidRPr="00C839E1" w:rsidRDefault="005F5D24" w:rsidP="00C839E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7242"/>
      </w:tblGrid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1D6575" w:rsidP="00F83C6B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F83C6B">
              <w:rPr>
                <w:rFonts w:ascii="Arial" w:hAnsi="Arial" w:cs="Arial"/>
                <w:b/>
                <w:color w:val="FFFFFF"/>
                <w:sz w:val="36"/>
                <w:szCs w:val="36"/>
              </w:rPr>
              <w:t>Betriebsanweisung</w:t>
            </w:r>
          </w:p>
          <w:p w:rsidR="001D6575" w:rsidRPr="00F83C6B" w:rsidRDefault="001D6575" w:rsidP="00645973">
            <w:pPr>
              <w:jc w:val="center"/>
              <w:rPr>
                <w:rFonts w:ascii="Arial" w:hAnsi="Arial" w:cs="Arial"/>
                <w:color w:val="FFFFFF"/>
                <w:spacing w:val="14"/>
                <w:sz w:val="18"/>
                <w:szCs w:val="18"/>
                <w:shd w:val="clear" w:color="auto" w:fill="FE0000"/>
              </w:rPr>
            </w:pPr>
            <w:r w:rsidRPr="00F83C6B">
              <w:rPr>
                <w:rFonts w:ascii="Arial" w:hAnsi="Arial" w:cs="Arial"/>
                <w:color w:val="FFFFFF"/>
                <w:spacing w:val="14"/>
                <w:sz w:val="18"/>
                <w:szCs w:val="18"/>
                <w:shd w:val="clear" w:color="auto" w:fill="FE0000"/>
              </w:rPr>
              <w:t>gemäß § 14 GefStoffV</w:t>
            </w:r>
          </w:p>
        </w:tc>
      </w:tr>
      <w:tr w:rsidR="001D6575" w:rsidRPr="00F83C6B" w:rsidTr="00F83C6B"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1D6575" w:rsidRPr="00F83C6B" w:rsidRDefault="001D6575" w:rsidP="00C839E1">
            <w:pPr>
              <w:rPr>
                <w:rFonts w:ascii="Arial" w:hAnsi="Arial" w:cs="Arial"/>
                <w:b/>
              </w:rPr>
            </w:pPr>
            <w:r w:rsidRPr="00F83C6B">
              <w:rPr>
                <w:rFonts w:ascii="Arial" w:hAnsi="Arial" w:cs="Arial"/>
                <w:b/>
              </w:rPr>
              <w:t>Arbeitsbereich:</w:t>
            </w:r>
          </w:p>
          <w:p w:rsidR="001D6575" w:rsidRPr="00F83C6B" w:rsidRDefault="001D6575" w:rsidP="00C839E1">
            <w:pPr>
              <w:rPr>
                <w:rFonts w:ascii="Arial" w:hAnsi="Arial" w:cs="Arial"/>
                <w:b/>
              </w:rPr>
            </w:pPr>
            <w:r w:rsidRPr="00F83C6B">
              <w:rPr>
                <w:rFonts w:ascii="Arial" w:hAnsi="Arial" w:cs="Arial"/>
                <w:b/>
              </w:rPr>
              <w:t>Arbeitsplatz:</w:t>
            </w:r>
          </w:p>
          <w:p w:rsidR="001D6575" w:rsidRPr="00F83C6B" w:rsidRDefault="001D6575" w:rsidP="00C839E1">
            <w:pPr>
              <w:rPr>
                <w:rFonts w:ascii="Arial" w:hAnsi="Arial" w:cs="Arial"/>
              </w:rPr>
            </w:pPr>
            <w:r w:rsidRPr="00F83C6B">
              <w:rPr>
                <w:rFonts w:ascii="Arial" w:hAnsi="Arial" w:cs="Arial"/>
                <w:b/>
              </w:rPr>
              <w:t>Tätigkeit: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D6575" w:rsidRPr="00F83C6B" w:rsidRDefault="001D6575" w:rsidP="00C839E1">
            <w:pPr>
              <w:rPr>
                <w:rFonts w:ascii="Arial" w:hAnsi="Arial" w:cs="Arial"/>
              </w:rPr>
            </w:pP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  <w:lang w:val="nl-NL"/>
              </w:rPr>
            </w:pPr>
            <w:r w:rsidRPr="00F83C6B"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  <w:lang w:val="nl-NL"/>
              </w:rPr>
              <w:t>Gefahrstoffbezeichnung</w:t>
            </w:r>
          </w:p>
        </w:tc>
      </w:tr>
      <w:tr w:rsidR="001D6575" w:rsidRPr="00F83C6B" w:rsidTr="00F83C6B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575" w:rsidRPr="00F83C6B" w:rsidRDefault="00D44CEF" w:rsidP="00F83C6B">
            <w:pPr>
              <w:jc w:val="center"/>
              <w:rPr>
                <w:rFonts w:ascii="Arial" w:hAnsi="Arial" w:cs="Arial"/>
                <w:b/>
                <w:bCs/>
                <w:spacing w:val="2"/>
                <w:sz w:val="40"/>
                <w:szCs w:val="40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Cleanet</w:t>
            </w:r>
            <w:r w:rsidRPr="00D44CEF">
              <w:rPr>
                <w:rFonts w:ascii="Helvetica-Bold" w:hAnsi="Helvetica-Bold" w:cs="Helvetica-Bold"/>
                <w:b/>
                <w:bCs/>
                <w:sz w:val="40"/>
                <w:szCs w:val="40"/>
                <w:vertAlign w:val="superscript"/>
              </w:rPr>
              <w:t>®</w:t>
            </w: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 xml:space="preserve"> OR 6</w:t>
            </w: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 w:rsidRPr="00F83C6B"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  <w:t>Gefahren für Mensch und Umwelt</w:t>
            </w:r>
          </w:p>
        </w:tc>
      </w:tr>
      <w:tr w:rsidR="001D6575" w:rsidRPr="00F83C6B" w:rsidTr="00F83C6B">
        <w:trPr>
          <w:trHeight w:val="701"/>
        </w:trPr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1E2CF2" w:rsidRPr="00F83C6B" w:rsidRDefault="001E2CF2" w:rsidP="00D44CEF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E2CF2" w:rsidRPr="00F83C6B" w:rsidRDefault="00D44CEF" w:rsidP="00645973">
            <w:pPr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D44CEF">
              <w:rPr>
                <w:rFonts w:ascii="Arial" w:hAnsi="Arial" w:cs="Arial"/>
                <w:spacing w:val="2"/>
                <w:sz w:val="18"/>
                <w:szCs w:val="18"/>
              </w:rPr>
              <w:t>Schädlich für Wasserorganismen, mit langfristiger Wirkung.</w:t>
            </w:r>
          </w:p>
        </w:tc>
      </w:tr>
      <w:tr w:rsidR="001D6575" w:rsidRPr="00F83C6B" w:rsidTr="00F83C6B">
        <w:trPr>
          <w:trHeight w:val="248"/>
        </w:trPr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 w:rsidRPr="00F83C6B"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  <w:t>Schutzmaßnahmen und Verhaltensregeln</w:t>
            </w:r>
          </w:p>
        </w:tc>
      </w:tr>
      <w:tr w:rsidR="001D6575" w:rsidRPr="00F83C6B" w:rsidTr="00F83C6B"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232051" w:rsidRPr="00F83C6B" w:rsidRDefault="00D44CEF" w:rsidP="00AE17C9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523875" cy="523875"/>
                  <wp:effectExtent l="0" t="0" r="9525" b="9525"/>
                  <wp:docPr id="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D6575" w:rsidRPr="00F54AD6" w:rsidRDefault="00D44CEF" w:rsidP="00D44CEF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D44CEF">
              <w:rPr>
                <w:rFonts w:ascii="Arial" w:hAnsi="Arial" w:cs="Arial"/>
                <w:spacing w:val="2"/>
                <w:sz w:val="20"/>
                <w:szCs w:val="20"/>
              </w:rPr>
              <w:t>Auf sehr gute Be- und Entlüftung des Arbeitsplatzes achten.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44CEF">
              <w:rPr>
                <w:rFonts w:ascii="Arial" w:hAnsi="Arial" w:cs="Arial"/>
                <w:spacing w:val="2"/>
                <w:sz w:val="20"/>
                <w:szCs w:val="20"/>
              </w:rPr>
              <w:t>Nicht rauchen, essen und trinken in Arbeits- und Lagerräumen. Auch keine Lebensmittel, Getränke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44CEF">
              <w:rPr>
                <w:rFonts w:ascii="Arial" w:hAnsi="Arial" w:cs="Arial"/>
                <w:spacing w:val="2"/>
                <w:sz w:val="20"/>
                <w:szCs w:val="20"/>
              </w:rPr>
              <w:t>oder Tabak aufbewahren.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44CEF">
              <w:rPr>
                <w:rFonts w:ascii="Arial" w:hAnsi="Arial" w:cs="Arial"/>
                <w:spacing w:val="2"/>
                <w:sz w:val="20"/>
                <w:szCs w:val="20"/>
              </w:rPr>
              <w:t>Jede Störung sofort dem Vorgesetzten melden. Reparaturen sachgerecht und mit Vorsicht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44CEF">
              <w:rPr>
                <w:rFonts w:ascii="Arial" w:hAnsi="Arial" w:cs="Arial"/>
                <w:spacing w:val="2"/>
                <w:sz w:val="20"/>
                <w:szCs w:val="20"/>
              </w:rPr>
              <w:t>durchführen. Rohrleitungen müssen vollständig entleert werden.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44CEF">
              <w:rPr>
                <w:rFonts w:ascii="Arial" w:hAnsi="Arial" w:cs="Arial"/>
                <w:spacing w:val="2"/>
                <w:sz w:val="20"/>
                <w:szCs w:val="20"/>
              </w:rPr>
              <w:t>Zerbrechliche Gefäße mit der Substanz nur unter Verwendung eines Überbehälters (z.B.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44CEF">
              <w:rPr>
                <w:rFonts w:ascii="Arial" w:hAnsi="Arial" w:cs="Arial"/>
                <w:spacing w:val="2"/>
                <w:sz w:val="20"/>
                <w:szCs w:val="20"/>
              </w:rPr>
              <w:t>Plastikeimer mit Griff) transportieren. Nur in saubere und laugefeste Gebinde umfüllen.</w:t>
            </w:r>
            <w:r w:rsidR="00AE17C9" w:rsidRPr="00AE17C9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 w:rsidRPr="00F83C6B"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  <w:t>Verhalten im Gefahrfall</w:t>
            </w:r>
          </w:p>
        </w:tc>
      </w:tr>
      <w:tr w:rsidR="001D6575" w:rsidRPr="00F83C6B" w:rsidTr="00F83C6B"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9E4313" w:rsidRDefault="009E4313" w:rsidP="00C839E1">
            <w:pPr>
              <w:rPr>
                <w:noProof/>
              </w:rPr>
            </w:pPr>
          </w:p>
          <w:p w:rsidR="001D6575" w:rsidRPr="00F83C6B" w:rsidRDefault="001D6575" w:rsidP="00C839E1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D6575" w:rsidRPr="00F83C6B" w:rsidRDefault="00D44CEF" w:rsidP="00AE17C9">
            <w:pPr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D44CEF">
              <w:rPr>
                <w:rFonts w:ascii="Arial" w:hAnsi="Arial" w:cs="Arial"/>
                <w:spacing w:val="2"/>
                <w:sz w:val="20"/>
                <w:szCs w:val="20"/>
              </w:rPr>
              <w:t>Im Falle einer Brandbekämpfung betriebliche Anweisungen genau einhalten.</w:t>
            </w:r>
            <w:bookmarkStart w:id="0" w:name="_GoBack"/>
            <w:bookmarkEnd w:id="0"/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 w:rsidRPr="00F83C6B"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  <w:t>Erste Hilfe</w:t>
            </w:r>
          </w:p>
        </w:tc>
      </w:tr>
      <w:tr w:rsidR="00044630" w:rsidRPr="00F83C6B" w:rsidTr="00F83C6B">
        <w:tc>
          <w:tcPr>
            <w:tcW w:w="2025" w:type="dxa"/>
            <w:vMerge w:val="restart"/>
            <w:shd w:val="clear" w:color="auto" w:fill="auto"/>
          </w:tcPr>
          <w:p w:rsidR="00044630" w:rsidRPr="00F83C6B" w:rsidRDefault="00D44CEF" w:rsidP="00C839E1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466725" cy="466725"/>
                  <wp:effectExtent l="0" t="0" r="9525" b="9525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shd w:val="clear" w:color="auto" w:fill="auto"/>
          </w:tcPr>
          <w:p w:rsidR="00044630" w:rsidRDefault="00044630" w:rsidP="0064597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</w:p>
          <w:p w:rsidR="00F54AD6" w:rsidRDefault="00F54AD6" w:rsidP="0064597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</w:p>
          <w:p w:rsidR="00F54AD6" w:rsidRDefault="001E2CF2" w:rsidP="0064597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-</w:t>
            </w:r>
          </w:p>
          <w:p w:rsidR="00F54AD6" w:rsidRDefault="00F54AD6" w:rsidP="0064597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</w:p>
          <w:p w:rsidR="00F54AD6" w:rsidRPr="00F83C6B" w:rsidRDefault="00F54AD6" w:rsidP="0064597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4630" w:rsidRPr="00F83C6B" w:rsidTr="00F83C6B">
        <w:tc>
          <w:tcPr>
            <w:tcW w:w="2025" w:type="dxa"/>
            <w:vMerge/>
            <w:shd w:val="clear" w:color="auto" w:fill="auto"/>
          </w:tcPr>
          <w:p w:rsidR="00044630" w:rsidRPr="00F83C6B" w:rsidRDefault="00044630" w:rsidP="00C839E1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  <w:shd w:val="clear" w:color="auto" w:fill="auto"/>
          </w:tcPr>
          <w:p w:rsidR="00044630" w:rsidRPr="00F83C6B" w:rsidRDefault="00044630" w:rsidP="00F83C6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4630" w:rsidRPr="00F83C6B" w:rsidRDefault="00044630" w:rsidP="00F83C6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 Notfall: </w:t>
            </w:r>
          </w:p>
          <w:p w:rsidR="00044630" w:rsidRPr="00F83C6B" w:rsidRDefault="00044630" w:rsidP="00F83C6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4630" w:rsidRPr="00F83C6B" w:rsidRDefault="00044630" w:rsidP="00F83C6B">
            <w:pPr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Ersthelfer </w:t>
            </w:r>
            <w:r w:rsidRPr="00F83C6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zuständiger Arzt</w:t>
            </w:r>
          </w:p>
          <w:p w:rsidR="00044630" w:rsidRPr="00F83C6B" w:rsidRDefault="00044630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>Notruf</w:t>
            </w:r>
          </w:p>
          <w:p w:rsidR="00044630" w:rsidRPr="00F83C6B" w:rsidRDefault="00044630" w:rsidP="00C839E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>Feuerwehr</w:t>
            </w: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 w:rsidRPr="00F83C6B"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  <w:t>sachgerechte Entsorgung</w:t>
            </w:r>
          </w:p>
        </w:tc>
      </w:tr>
      <w:tr w:rsidR="0048189E" w:rsidRPr="00F83C6B" w:rsidTr="00F83C6B">
        <w:tc>
          <w:tcPr>
            <w:tcW w:w="2025" w:type="dxa"/>
            <w:vMerge w:val="restart"/>
            <w:shd w:val="clear" w:color="auto" w:fill="auto"/>
          </w:tcPr>
          <w:p w:rsidR="0048189E" w:rsidRPr="00F83C6B" w:rsidRDefault="00D44CEF" w:rsidP="00C839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52525" cy="466725"/>
                  <wp:effectExtent l="0" t="0" r="9525" b="9525"/>
                  <wp:docPr id="11" name="Bild 11" descr="_Pic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_Pic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shd w:val="clear" w:color="auto" w:fill="auto"/>
          </w:tcPr>
          <w:p w:rsidR="0048189E" w:rsidRDefault="0048189E" w:rsidP="00645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4AD6" w:rsidRDefault="001E2CF2" w:rsidP="00645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54AD6" w:rsidRDefault="00F54AD6" w:rsidP="00645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4AD6" w:rsidRDefault="00F54AD6" w:rsidP="00645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4AD6" w:rsidRPr="00F83C6B" w:rsidRDefault="00F54AD6" w:rsidP="00645973">
            <w:pPr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8189E" w:rsidRPr="00F83C6B" w:rsidTr="00F83C6B">
        <w:tc>
          <w:tcPr>
            <w:tcW w:w="2025" w:type="dxa"/>
            <w:vMerge/>
            <w:shd w:val="clear" w:color="auto" w:fill="auto"/>
          </w:tcPr>
          <w:p w:rsidR="0048189E" w:rsidRPr="00F83C6B" w:rsidRDefault="0048189E" w:rsidP="00C839E1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  <w:shd w:val="clear" w:color="auto" w:fill="auto"/>
          </w:tcPr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Erstellung</w:t>
            </w: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Prüfung</w:t>
            </w: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Freigabe</w:t>
            </w:r>
          </w:p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>Datum</w:t>
            </w:r>
          </w:p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  <w:p w:rsidR="0048189E" w:rsidRPr="00F83C6B" w:rsidRDefault="0048189E" w:rsidP="00C839E1">
            <w:p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F83C6B">
              <w:rPr>
                <w:rFonts w:ascii="Arial" w:hAnsi="Arial" w:cs="Arial"/>
                <w:b/>
                <w:bCs/>
                <w:sz w:val="18"/>
                <w:szCs w:val="18"/>
              </w:rPr>
              <w:t>Unterschrift</w:t>
            </w:r>
          </w:p>
        </w:tc>
      </w:tr>
    </w:tbl>
    <w:p w:rsidR="00D664D0" w:rsidRPr="00C839E1" w:rsidRDefault="00D664D0" w:rsidP="00C839E1">
      <w:pPr>
        <w:rPr>
          <w:rFonts w:ascii="Arial" w:hAnsi="Arial" w:cs="Arial"/>
        </w:rPr>
      </w:pPr>
    </w:p>
    <w:sectPr w:rsidR="00D664D0" w:rsidRPr="00C839E1" w:rsidSect="005F5D24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EF"/>
    <w:rsid w:val="00044630"/>
    <w:rsid w:val="001477D0"/>
    <w:rsid w:val="001D6575"/>
    <w:rsid w:val="001E2CF2"/>
    <w:rsid w:val="001F58AF"/>
    <w:rsid w:val="00232051"/>
    <w:rsid w:val="00290FA6"/>
    <w:rsid w:val="003B1A62"/>
    <w:rsid w:val="003B4F1C"/>
    <w:rsid w:val="0048189E"/>
    <w:rsid w:val="004B4916"/>
    <w:rsid w:val="005B5D41"/>
    <w:rsid w:val="005F5D24"/>
    <w:rsid w:val="00645973"/>
    <w:rsid w:val="00674E04"/>
    <w:rsid w:val="00694DF9"/>
    <w:rsid w:val="006D16BE"/>
    <w:rsid w:val="006F163F"/>
    <w:rsid w:val="007237EE"/>
    <w:rsid w:val="00780741"/>
    <w:rsid w:val="00792B6B"/>
    <w:rsid w:val="0086037E"/>
    <w:rsid w:val="008A7C66"/>
    <w:rsid w:val="008F6C6B"/>
    <w:rsid w:val="00900F60"/>
    <w:rsid w:val="009C3CB5"/>
    <w:rsid w:val="009E4313"/>
    <w:rsid w:val="00A25BB7"/>
    <w:rsid w:val="00AE17C9"/>
    <w:rsid w:val="00B137C4"/>
    <w:rsid w:val="00B74AE7"/>
    <w:rsid w:val="00BF1FF8"/>
    <w:rsid w:val="00C839E1"/>
    <w:rsid w:val="00CF2C6C"/>
    <w:rsid w:val="00D44CEF"/>
    <w:rsid w:val="00D664D0"/>
    <w:rsid w:val="00E904A4"/>
    <w:rsid w:val="00F54AD6"/>
    <w:rsid w:val="00F8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D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D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tockmeier%20Chemie%20Bielefeld\Verkauf\Reiniger\Innendienst\Simons\Diverses\Vorlage%20Betriebsanweisung%20NE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Betriebsanweisung NEU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</vt:lpstr>
    </vt:vector>
  </TitlesOfParts>
  <Company>Stockmeier Gruppe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</dc:title>
  <dc:creator>Simons, Marcel</dc:creator>
  <cp:lastModifiedBy>Simons, Marcel</cp:lastModifiedBy>
  <cp:revision>1</cp:revision>
  <cp:lastPrinted>2006-02-22T10:13:00Z</cp:lastPrinted>
  <dcterms:created xsi:type="dcterms:W3CDTF">2017-06-07T14:11:00Z</dcterms:created>
  <dcterms:modified xsi:type="dcterms:W3CDTF">2017-06-07T14:12:00Z</dcterms:modified>
</cp:coreProperties>
</file>